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6A" w:rsidRDefault="00A23D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3D6A" w:rsidRDefault="00A23D6A">
      <w:pPr>
        <w:pStyle w:val="ConsPlusNormal"/>
        <w:jc w:val="both"/>
        <w:outlineLvl w:val="0"/>
      </w:pPr>
    </w:p>
    <w:p w:rsidR="00A23D6A" w:rsidRDefault="00A23D6A">
      <w:pPr>
        <w:pStyle w:val="ConsPlusTitle"/>
        <w:jc w:val="center"/>
      </w:pPr>
      <w:r>
        <w:t>ОРГАНИЗАЦИЯ ОБЪЕДИНЕННЫХ НАЦИЙ</w:t>
      </w:r>
    </w:p>
    <w:p w:rsidR="00A23D6A" w:rsidRDefault="00A23D6A">
      <w:pPr>
        <w:pStyle w:val="ConsPlusTitle"/>
        <w:jc w:val="center"/>
      </w:pPr>
      <w:r>
        <w:t>ПО ВОПРОСАМ ОБРАЗОВАНИЯ, НАУКИ И КУЛЬТУРЫ</w:t>
      </w:r>
    </w:p>
    <w:p w:rsidR="00A23D6A" w:rsidRDefault="00A23D6A">
      <w:pPr>
        <w:pStyle w:val="ConsPlusTitle"/>
        <w:jc w:val="center"/>
      </w:pPr>
    </w:p>
    <w:p w:rsidR="00A23D6A" w:rsidRDefault="00A23D6A">
      <w:pPr>
        <w:pStyle w:val="ConsPlusTitle"/>
        <w:jc w:val="center"/>
      </w:pPr>
      <w:r>
        <w:t>КОНВЕНЦИЯ</w:t>
      </w:r>
    </w:p>
    <w:p w:rsidR="00A23D6A" w:rsidRDefault="00A23D6A">
      <w:pPr>
        <w:pStyle w:val="ConsPlusTitle"/>
        <w:jc w:val="center"/>
      </w:pPr>
      <w:r>
        <w:t>О ТЕХНИЧЕСКОМ И ПРОФЕССИОНАЛЬНОМ ОБРАЗОВАНИИ</w:t>
      </w:r>
    </w:p>
    <w:p w:rsidR="00A23D6A" w:rsidRDefault="00A23D6A">
      <w:pPr>
        <w:pStyle w:val="ConsPlusTitle"/>
        <w:jc w:val="center"/>
      </w:pPr>
    </w:p>
    <w:p w:rsidR="00A23D6A" w:rsidRDefault="00A23D6A">
      <w:pPr>
        <w:pStyle w:val="ConsPlusTitle"/>
        <w:jc w:val="center"/>
      </w:pPr>
      <w:r>
        <w:t>(Париж, 10 ноября 1989 года)</w:t>
      </w:r>
    </w:p>
    <w:p w:rsidR="00A23D6A" w:rsidRDefault="00A23D6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3D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D6A" w:rsidRDefault="00A23D6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D6A" w:rsidRDefault="00A23D6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D6A" w:rsidRDefault="00A23D6A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5" w:history="1">
              <w:r>
                <w:rPr>
                  <w:color w:val="0000FF"/>
                </w:rPr>
                <w:t>Статус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D6A" w:rsidRDefault="00A23D6A">
            <w:pPr>
              <w:spacing w:after="1" w:line="0" w:lineRule="atLeast"/>
            </w:pPr>
          </w:p>
        </w:tc>
      </w:tr>
    </w:tbl>
    <w:p w:rsidR="00A23D6A" w:rsidRDefault="00A23D6A">
      <w:pPr>
        <w:pStyle w:val="ConsPlusNormal"/>
        <w:spacing w:before="280"/>
        <w:jc w:val="center"/>
        <w:outlineLvl w:val="0"/>
      </w:pPr>
      <w:r>
        <w:t>Преамбула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Генеральная конференция Организации Объединенных Наций по вопросам образования, науки и культуры, собравшаяся в Париже с 17 октября по 16 ноября 1989 г. на свою двадцать пятую сессию,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напоминая, что в соответствии с </w:t>
      </w:r>
      <w:hyperlink r:id="rId6" w:history="1">
        <w:r>
          <w:rPr>
            <w:color w:val="0000FF"/>
          </w:rPr>
          <w:t>Уставом</w:t>
        </w:r>
      </w:hyperlink>
      <w:r>
        <w:t xml:space="preserve"> Организация имеет своим долгом поощрять и развивать образование,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напоминая также о принципах, изложенных в </w:t>
      </w:r>
      <w:hyperlink r:id="rId7" w:history="1">
        <w:r>
          <w:rPr>
            <w:color w:val="0000FF"/>
          </w:rPr>
          <w:t>статьях 23</w:t>
        </w:r>
      </w:hyperlink>
      <w:r>
        <w:t xml:space="preserve"> и </w:t>
      </w:r>
      <w:hyperlink r:id="rId8" w:history="1">
        <w:r>
          <w:rPr>
            <w:color w:val="0000FF"/>
          </w:rPr>
          <w:t>26</w:t>
        </w:r>
      </w:hyperlink>
      <w:r>
        <w:t xml:space="preserve"> Всеобщей декларации прав человека, которые касаются права на труд и права на образование, а также принципы, содержащиеся в </w:t>
      </w:r>
      <w:hyperlink r:id="rId9" w:history="1">
        <w:r>
          <w:rPr>
            <w:color w:val="0000FF"/>
          </w:rPr>
          <w:t>Конвенции</w:t>
        </w:r>
      </w:hyperlink>
      <w:r>
        <w:t xml:space="preserve"> о борьбе с дискриминацией в области образования, принятой в Париже 14 декабря 1960 года, в Международном </w:t>
      </w:r>
      <w:hyperlink r:id="rId10" w:history="1">
        <w:r>
          <w:rPr>
            <w:color w:val="0000FF"/>
          </w:rPr>
          <w:t>пакте</w:t>
        </w:r>
      </w:hyperlink>
      <w:r>
        <w:t xml:space="preserve"> об экономических, социальных и культурных правах и Международном </w:t>
      </w:r>
      <w:hyperlink r:id="rId11" w:history="1">
        <w:r>
          <w:rPr>
            <w:color w:val="0000FF"/>
          </w:rPr>
          <w:t>пакте</w:t>
        </w:r>
      </w:hyperlink>
      <w:r>
        <w:t xml:space="preserve"> о гражданских и политических правах, принятых в Нью-Йорке 16 декабря 1966 года, а также в </w:t>
      </w:r>
      <w:hyperlink r:id="rId12" w:history="1">
        <w:r>
          <w:rPr>
            <w:color w:val="0000FF"/>
          </w:rPr>
          <w:t>Конвенции</w:t>
        </w:r>
      </w:hyperlink>
      <w:r>
        <w:t xml:space="preserve"> о ликвидации всех форм дискриминации в отношении женщин, принятой Генеральной Ассамблеей Организации Объединенных Наций 18 декабря 1979 г.,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признавая, что развитие технического и профессионального образования должно содействовать поддержанию мира и дружескому взаимопониманию между различными странами,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отмечая положения пересмотренной Рекомендации о техническом и профессиональном образовании и Рекомендации о воспитании в духе международного взаимопонимания, сотрудничества и мира и воспитании в духе уважения прав человека и основных свобод, принятых на восемнадцатой сессии Генеральной конференции в 1974 году,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отмечая также положения Рекомендации о развитии образования взрослых, принятой Генеральной конференцией в 1976 году, и </w:t>
      </w:r>
      <w:hyperlink r:id="rId13" w:history="1">
        <w:r>
          <w:rPr>
            <w:color w:val="0000FF"/>
          </w:rPr>
          <w:t>Рекомендации</w:t>
        </w:r>
      </w:hyperlink>
      <w:r>
        <w:t xml:space="preserve"> о положении учителей, принятой Специальной межправительственной конференцией в 1966 году,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учитывая соответствующие рекомендации Международной конференции по образованию,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памятуя о положениях </w:t>
      </w:r>
      <w:hyperlink r:id="rId14" w:history="1">
        <w:r>
          <w:rPr>
            <w:color w:val="0000FF"/>
          </w:rPr>
          <w:t>Конвенции</w:t>
        </w:r>
      </w:hyperlink>
      <w:r>
        <w:t xml:space="preserve"> (N 142) и </w:t>
      </w:r>
      <w:hyperlink r:id="rId15" w:history="1">
        <w:r>
          <w:rPr>
            <w:color w:val="0000FF"/>
          </w:rPr>
          <w:t>Рекомендации</w:t>
        </w:r>
      </w:hyperlink>
      <w:r>
        <w:t xml:space="preserve"> (N 150) о развитии людских ресурсов, принятых шестидесятой сессией Международной конференции труда в 1975 году,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отмечая далее тесное сотрудничество между ЮНЕСКО и Международной организацией труда при разработке их соответствующих документов, с тем чтобы они преследовали согласованные задачи в целях дальнейшего плодотворного сотрудничества,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учитывая необходимость предпринять особые усилия в интересах технической и профессиональной подготовки женщин и девушек,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lastRenderedPageBreak/>
        <w:t>уделяя особое внимание разнообразию систем образования, социально-экономических и культурных условий, особенно условий в развивающихся странах, которые требуют особого рассмотрения и особых мер,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считая, что, несмотря на это разнообразие, развитие технического и профессионального образования повсеместно отвечает одинаковым целям и ставит аналогичные проблемы и что, следовательно, необходимы общие нормы,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признавая, что быстрые темпы технического, социального и экономического развития существенно обострили необходимость расширения и улучшения технического и профессионального образования, предоставляемого как молодежи, так и взрослым,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признавая, что техническое и профессиональное образование соответствует глобальной цели, заключающейся в развитии как отдельных людей, так и обществ,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будучи убеждена в необходимости обмена информацией и опытом в деле развития технического и профессионального образования, а также в желательности укрепления международного сотрудничества в этой области,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будучи убеждена в полезности международного правового документа для укрепления международного сотрудничества в деле развития технического и профессионального образования,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принимает десятого дня ноября 1989 года настоящую Конвенцию.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Договаривающиеся государства соглашаются в следующем: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a) для целей настоящей Конвенции "техническое и профессиональное образование" охватывает все формы и уровни процесса образования, включая, в дополнение к общим знаниям, изучение техники и относящихся к ней дисциплин, приобретение практических навыков, "ноу-хау", формирование отношений и понимание вопросов, относящихся к профессии в различных секторах экономической и социальной жизни;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b) настоящая Конвенция касается всех форм и уровней технического и профессионального образования, осуществляемого в учебных заведениях или в рамках совместных программ, осуществляемых как учебными учреждениями, с одной стороны, так и промышленными, сельскохозяйственными, торговыми или любыми другими предприятиями, связанными с миром труда, с другой стороны;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c) настоящая Конвенция осуществляется в соответствии с положениями конституций и законодательства каждого Договаривающегося государства.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2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1. Договаривающиеся государства соглашаются вырабатывать политику, определять стратегии и осуществлять в соответствии со своими потребностями и ресурсами программы и учебные планы технического и профессионального образования, предназначенные для молодежи и взрослых, в рамках своих соответствующих систем образования, с тем чтобы содействовать приобретению ими знаний и "ноу-хау", необходимых для экономического и социального развития, а также индивидуального и культурного самовыражения личности в обществе.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2. Общие рамки развития технического и профессионального образования определяются в каждом Договаривающемся государстве соответствующим законодательством или принятием других мер, с указанием: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lastRenderedPageBreak/>
        <w:t>a) целей, подлежащих достижению в сфере технического и профессионального образования с учетом конкретных потребностей экономического, социального и культурного развития, а также индивидуального самовыражения личности;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b) взаимосвязи между техническим и профессиональным образованием, с одной стороны, и другими типами образования, с другой стороны, с уделением особого внимания горизонтальной и вертикальной увязке программ;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c) структур административной организации технического и профессионального образования, определяемых ответственными органами;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d) роли государственных органов, ответственных за социально-экономическое планирование и планирование развития различных секторов экономики, а также, в соответствующих случаях, профессиональных ассоциаций, рабочих, служащих и других заинтересованных сторон.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3. Договаривающиеся государства гарантируют, что ни одно лицо, обладающее необходимым уровнем знаний для приема в технические и профессиональные учебные заведения, не будет подвергаться дискриминации по признаку расы, цвета кожи, пола, языка, религии, национального или социального происхождения, политических или иных убеждений, экономического положения, рождения или любого другого признака.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4. Договаривающиеся государства принимают меры для обеспечения права равного доступа к техническому и профессиональному образованию и равенства возможностей в учебе и ходе учебного процесса.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5. Договаривающиеся государства обращают внимание на особые потребности лиц с физическими недостатками или других групп населения, находящихся в неблагоприятных условиях, и принимают соответствующие меры, с тем чтобы эти группы могли пользоваться благами технического и профессионального образования.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3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1. Договаривающиеся государства соглашаются разрабатывать и осуществлять программы технического и профессионального образования, которые учитывают: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a) положение в области образования, культуры и в социальной сфере соответствующих групп населения, а также их профессиональные устремления;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b) технические и профессиональные навыки, знания и уровни квалификации, необходимые в различных отраслях экономики, а также технологические и структурные изменения, которых следует ожидать;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c) возможности обеспечения занятости и перспективы развития на национальном, региональном и местном уровнях;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d) охрану окружающей среды и принцип общего наследия человечества;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e) охрану здоровья, технику безопасности и условия труда.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2. Техническое и профессиональное образование должно строиться на основе открытых и гибких структур, с учетом принципа непрерывного образования и обеспечивать: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a) приобщение всех молодых людей к технике и к миру труда в контексте общего образования;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b) профессиональную и техническую ориентацию, информацию и консультирование </w:t>
      </w:r>
      <w:r>
        <w:lastRenderedPageBreak/>
        <w:t>относительно профессиональных возможностей;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c) развитие образования, преследующего своей целью приобретение и развитие знаний и "ноу-хау", необходимых для квалифицированного труда;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d) основу для образования и профессиональной подготовки, необходимых с учетом требований межпрофессиональной мобильности, повышения профессиональной квалификации и обновления знаний, навыков и понимания;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e) дополнительное общее образование для лиц, получающих начальную техническую и профессиональную подготовку на работе или иным образом, как в технических и профессиональных учебных заведениях, так и вне их;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f) непрерывное образование и курсы подготовки для взрослых, в частности с целью переподготовки, а также пополнения и повышения квалификации лиц, нынешние знания которых устарели в силу научного и технического прогресса или изменения структуры занятости или социально-экономической ситуации, а также для лиц, находящихся в особых условиях.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3. Программы технического и профессионального образования должны отвечать не только техническим требованиям соответствующих отраслей производства, но и обеспечивать общую подготовку, необходимую для индивидуального культурного расцвета личности, а также должны включать концепции, в частности, социального, экономического и экологического характера, имеющие отношение к данной профессии.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4. Договаривающиеся государства соглашаются оказывать поддержку и консультативную помощь предприятиям, помимо учебных заведений, которые участвуют в совместных программах технического и профессионального образования.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5. Квалификация на каждом профессиональном уровне должна быть как можно четче определена, а учебный план должен все время обновляться, путем включения новых знаний и технических методов.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6. При оценке способности к осуществлению профессиональных обязанностей и определении соответствующих дипломов, удостоверяющих техническое и профессиональное образование, должны учитываться одновременно практические и теоретические аспекты соответствующей области технических знаний; этот принцип должен распространяться как на лиц, получивших подготовку, так и на лиц, приобретших профессиональный опыт в ходе работы.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4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Договаривающиеся государства соглашаются периодически пересматривать структуры технического и профессионального образования, учебные планы и программы, а также методы обучения и учебные материалы, а также формы сотрудничества между школьной системой и миром труда, с тем чтобы обеспечить их постоянную связь с достижениями научно-технического прогресса и с развитием культуры, а также с изменением потребностей в области занятости в различных секторах экономики, и чтобы учитывать научные достижения и нововведения в области образования с целью внедрения наиболее эффективных педагогических методов.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5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1. Договаривающиеся государства соглашаются, что все лица, преподающие в области профессионального и технического образования, занятые полное или неполное рабочее время, должны обладать соответствующими теоретическими и практическими знаниями в своих областях профессиональной компетенции, а также соответствующими навыками преподавания, которые отвечают типу и уровню занятий, которые они призваны проводить.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lastRenderedPageBreak/>
        <w:t>2. Лицам, преподающим в технических и профессиональных учебных заведениях, должна предоставляться возможность совершенствовать имеющуюся у них техническую информацию, свои специальные знания и навыки посредством специализированных курсов, практической подготовки на предприятиях и любых других организованных форм деятельности, предусматривающих участие в сфере труда; кроме того, они должны иметь доступ к информации и подготовке в области педагогических нововведений, которые могут быть использованы в их конкретной дисциплине, а также иметь возможность участвовать в соответствующих научных исследованиях и разработках.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3. Преподаватели и другие специалисты в области технического и профессионального образования должны иметь равные возможности найма, на недискриминационной основе, и условия их найма должны обеспечивать возможность привлечения, набора и работы квалифицированных в своих областях компетенции кадров.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6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С целью содействия международному сотрудничеству Договаривающиеся Стороны соглашаются: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a) содействовать сбору и распространению информации, касающейся нововведений, идей и опыта в области технического и профессионального образования, и принимать активное участие в международном обмене информацией об учебных программах и программах подготовки преподавательских кадров, методах, стандартах на оборудование и школьных учебниках в области технического и профессионального образования;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b) поощрять использование в области технического и профессионального образования международных технических норм, применяемых в промышленности, торговле и других секторах экономики;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c) содействовать выработке подходов, направленных на обеспечение признания эквивалентности квалификации, полученной в рамках технического и профессионального образования;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d) содействовать международному обмену преподавателями, администраторами и другими специалистами в области технического и профессионального образования;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e) предоставлять учащимся из других стран, прежде всего из развивающихся стран, возможность получать техническое и профессиональное образование в своих учебных заведениях, в частности, с целью упрощения процесса изучения, приобретения, приспособления, передачи и применения технологии;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f) содействовать развитию сотрудничества в области технического и профессионального образования между всеми странами, но в особенности между промышленно развитыми и развивающимися странами, с целью поощрения развития технологий этих стран;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g) мобилизовывать ресурсы с целью укрепления международного сотрудничества в области технического и профессионального образования.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7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Договаривающиеся государства должны сообщать в периодических докладах, которые они будут представлять Генеральной конференции Организации Объединенных Наций по вопросам образования, науки и культуры, в сроки и в форме, которые будут ею установлены, о законодательных, нормативных и прочих мерах, принятых ими для осуществления настоящей Конвенции.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8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К государствам - участникам настоящей Конвенции, в которых действует неунитарная конституционная система, применяются следующие положения: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 xml:space="preserve">a) в отношении положений настоящей Конвенции, осуществление которых подпадает под юрисдикцию федеральных или центральных законодательных властей, обязательства федерального или центрального правительства являются такими </w:t>
      </w:r>
      <w:proofErr w:type="gramStart"/>
      <w:r>
        <w:t>же</w:t>
      </w:r>
      <w:proofErr w:type="gramEnd"/>
      <w:r>
        <w:t xml:space="preserve"> как и обязательства государства - участников с централизованной системой;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b) в отношении положений настоящей Конвенции, осуществление которых подпадает под юрисдикцию входящих в федерацию штатов и земель, провинций, автономных общин или кантонов, которые в соответствии с общей или основной федеральной конституционной системой не обязаны принимать законодательных мер, центральное правительство информирует компетентные власти таких штатов, земель, провинций, автономных общин или кантонов об указанных выше положениях с рекомендацией об их принятии.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9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Участниками настоящей Конвенции могут стать государства - члены ЮНЕСКО, равно как и государства, не являющиеся ее членами, но которые были приглашены Исполнительным советом ЮНЕСКО стать ее участниками путем сдачи на хранение Генеральному директору ЮНЕСКО акта о ее ратификации, принятии, присоединении или согласии с нею.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10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Настоящая Конвенция вступает в силу через три месяца со дня сдачи на хранение третьего акта, упомянутого в статье 9, но лишь в отношении тех государств, которые сдали на хранение свои соответствующие акты в указанный день или ранее. В отношении любого другого государства Конвенция вступает в силу через три месяца после того, как оно сдало на хранение свой акт.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11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1. Каждое Договаривающееся государство может денонсировать настоящую Конвенцию посредством официального уведомления, направленного в письменной форме Генеральному директору Организации Объединенных Наций по вопросам образования, науки и культуры.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t>2. Денонсация вступает в силу через двенадцать месяцев после получения такого уведомления.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12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Генеральный директор Организации Объединенных Наций по вопросам образования, науки и культуры сообщает государствам - членам Организации, государствам, не являющимся ее членами, упомянутым в статье 9, а также Организации Объединенных Наций о сдаче на хранение всех актов, указанных в статье 9, а также о денонсациях, предусмотренных в статье 11.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13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1. Настоящая Конвенция может быть пересмотрена Генеральной конференцией Организации Объединенных Наций по вопросам образования, науки и культуры. Такой пересмотр будет обязывать, однако, лишь те государства, которые станут участниками пересмотренной Конвенции.</w:t>
      </w:r>
    </w:p>
    <w:p w:rsidR="00A23D6A" w:rsidRDefault="00A23D6A">
      <w:pPr>
        <w:pStyle w:val="ConsPlusNormal"/>
        <w:spacing w:before="220"/>
        <w:ind w:firstLine="540"/>
        <w:jc w:val="both"/>
      </w:pPr>
      <w:r>
        <w:lastRenderedPageBreak/>
        <w:t xml:space="preserve">2. В случае, если Генеральная конференция примет новую конвенцию в результате полного или частичного пересмотра настоящей Конвенции </w:t>
      </w:r>
      <w:proofErr w:type="gramStart"/>
      <w:r>
        <w:t>и</w:t>
      </w:r>
      <w:proofErr w:type="gramEnd"/>
      <w:r>
        <w:t xml:space="preserve"> если новая конвенция не будет содержать иных положений, настоящая Конвенция будет закрыта для новых государств - участников со дня вступления в силу пересмотренной новой конвенции.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14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Настоящая Конвенция составлена на английском, арабском, испанском, китайском, русском и французском языках, причем все шесть текстов имеют равную силу.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jc w:val="center"/>
        <w:outlineLvl w:val="0"/>
      </w:pPr>
      <w:r>
        <w:t>Статья 15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102</w:t>
        </w:r>
      </w:hyperlink>
      <w:r>
        <w:t xml:space="preserve"> Устава Организации Объединенных Наций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образования, науки и культуры.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  <w:ind w:firstLine="540"/>
        <w:jc w:val="both"/>
      </w:pPr>
      <w:r>
        <w:t>Совершено в г. Париже сего 10 ноября 1989 года в двух экземплярах, имеющих одинаковую силу, за подписью Председателя Генеральной конференции, собравшейся на свою двадцать пятую сессию, и Генерального директора Организации Объединенных Наций по вопросам образования, науки и культуры. Эти экземпляры будут помещены в архивы Организации Объединенных Наций по вопросам образования, науки и культуры, и их заверенные копии будут направлены всем государствам, указанным в статье 9, а также Организации Объединенных Наций.</w:t>
      </w:r>
    </w:p>
    <w:p w:rsidR="00A23D6A" w:rsidRDefault="00A23D6A">
      <w:pPr>
        <w:pStyle w:val="ConsPlusNormal"/>
      </w:pPr>
    </w:p>
    <w:p w:rsidR="00A23D6A" w:rsidRDefault="00A23D6A">
      <w:pPr>
        <w:pStyle w:val="ConsPlusNormal"/>
      </w:pPr>
    </w:p>
    <w:p w:rsidR="00A23D6A" w:rsidRDefault="00A23D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C67" w:rsidRDefault="00C61C67">
      <w:bookmarkStart w:id="0" w:name="_GoBack"/>
      <w:bookmarkEnd w:id="0"/>
    </w:p>
    <w:sectPr w:rsidR="00C61C67" w:rsidSect="00CC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6A"/>
    <w:rsid w:val="00A23D6A"/>
    <w:rsid w:val="00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61E0-6BC0-439C-B9E5-26AF29E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92FB2DC8C36E4BFF24EE25546083EEA0DDB84B6E2208A377E37742A0A1AAFD5B68A81235A35A7BFB5A9868562T4WBM" TargetMode="External"/><Relationship Id="rId13" Type="http://schemas.openxmlformats.org/officeDocument/2006/relationships/hyperlink" Target="consultantplus://offline/ref=F8A4F705E60D174A5AAE192FB2DC8C36E4BFF744EB5546083EEA0DDB84B6E2328A6F723772340D15BA83E7CCTDW0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A4F705E60D174A5AAE192FB2DC8C36E4BFF24EE25546083EEA0DDB84B6E2208A377E37742A0B1AAFD5B68A81235A35A7BFB5A9868562T4WBM" TargetMode="External"/><Relationship Id="rId12" Type="http://schemas.openxmlformats.org/officeDocument/2006/relationships/hyperlink" Target="consultantplus://offline/ref=F8A4F705E60D174A5AAE192FB2DC8C36E4BFF348E25546083EEA0DDB84B6E2328A6F723772340D15BA83E7CCTDW0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A4F705E60D174A5AAE192FB2DC8C36E4BFF34AE25546083EEA0DDB84B6E2208A377E377429091EAFD5B68A81235A35A7BFB5A9868562T4W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92FB2DC8C36E4BFF345EA5546083EEA0DDB84B6E2328A6F723772340D15BA83E7CCTDW0M" TargetMode="External"/><Relationship Id="rId11" Type="http://schemas.openxmlformats.org/officeDocument/2006/relationships/hyperlink" Target="consultantplus://offline/ref=F8A4F705E60D174A5AAE192FB2DC8C36E4BFF24FEF5546083EEA0DDB84B6E2328A6F723772340D15BA83E7CCTDW0M" TargetMode="External"/><Relationship Id="rId5" Type="http://schemas.openxmlformats.org/officeDocument/2006/relationships/hyperlink" Target="consultantplus://offline/ref=F8A4F705E60D174A5AAE192FB2DC8C36E0BBF44DE35546083EEA0DDB84B6E2328A6F723772340D15BA83E7CCTDW0M" TargetMode="External"/><Relationship Id="rId15" Type="http://schemas.openxmlformats.org/officeDocument/2006/relationships/hyperlink" Target="consultantplus://offline/ref=F8A4F705E60D174A5AAE192FB2DC8C36E4BCF048EA5546083EEA0DDB84B6E2328A6F723772340D15BA83E7CCTDW0M" TargetMode="External"/><Relationship Id="rId10" Type="http://schemas.openxmlformats.org/officeDocument/2006/relationships/hyperlink" Target="consultantplus://offline/ref=F8A4F705E60D174A5AAE192FB2DC8C36E4BFF24FEE5546083EEA0DDB84B6E2328A6F723772340D15BA83E7CCTDW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A4F705E60D174A5AAE192FB2DC8C36E4BFF14CEB5546083EEA0DDB84B6E2328A6F723772340D15BA83E7CCTDW0M" TargetMode="External"/><Relationship Id="rId14" Type="http://schemas.openxmlformats.org/officeDocument/2006/relationships/hyperlink" Target="consultantplus://offline/ref=F8A4F705E60D174A5AAE192FB2DC8C36E4BFF545EF5546083EEA0DDB84B6E2328A6F723772340D15BA83E7CCTD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2024-08-06T12:22:00Z</dcterms:created>
  <dcterms:modified xsi:type="dcterms:W3CDTF">2024-08-06T12:22:00Z</dcterms:modified>
</cp:coreProperties>
</file>